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40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张发〔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〕27号</w:t>
      </w:r>
    </w:p>
    <w:p>
      <w:pPr>
        <w:spacing w:line="400" w:lineRule="atLeas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中共张汪镇委员会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4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45"/>
          <w:sz w:val="44"/>
          <w:szCs w:val="44"/>
          <w:lang w:eastAsia="zh-CN"/>
        </w:rPr>
        <w:t>张汪镇人民政府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开展重点工作“百日攻坚”行动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>
      <w:pPr>
        <w:spacing w:line="400" w:lineRule="atLeas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各党总支、村，机关各单位、镇直各部门：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为保障全年重点工作任务目标的顺利完成，镇党委、政府决定于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2023年9月中下旬至12月底，在全镇开展重点工作“百日攻坚”行动，动员全镇上下进一步聚焦“强工兴产、项目突破”四年攻坚行动和工业倍增任务目标，大干一百天，冲刺四季度，决战全年胜。现将有关事项通知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一、实施招商引资百日攻坚。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围绕市“化机锂医数”五大主导产业和特色文旅、高效农业、新型商贸物流三大重点产业，面向重点区域，紧盯重点企业，持续加大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专班推进制度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定期例会制度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以商招商、链式招商力度，推动意向项目快签约，签约项目快落地、落地项目快开工，提高项目落地开工率，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确保每月收集有效项目线索不少于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条，新招引开工过亿元项目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达到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4个，10亿元以上项目1个，其中外资不少于500万美元。</w:t>
      </w:r>
      <w:r>
        <w:rPr>
          <w:rFonts w:hint="eastAsia" w:ascii="仿宋_GB2312" w:hAnsi="华文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(牵头单位:商务投促岗、自然资源所、各产业专班)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二、实施重点项目建设百日攻坚。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调整优化重点项目帮包工作机制，实行领导干部、总支书记、经济部门负责人“三员”帮包， 进行红黄蓝亮榜管理，协调解决项目建设中的堵点难点问题，全力推动开工项目快建设、在建项目快竣工、竣工项目快投产，确保完成市级下达实施类重点项目任务4个，争取完成6个。强化要素保障，充分用好要素跟着项目走、增存挂钩、低效闲置用地盘活等机制，通过申报省重大项目争取更多省级统筹指标，循环经济产业园500亩土地编入全市土地征收成片开发方案，为重点项目尽早落地、开工达产保驾护航。(牵头单位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经济发展办公室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、商务投促岗、发展改革岗、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自然资源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所、重点项目专班)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三、实施“四上”企业培育百日攻坚。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认真落实中央、省市出台的支持民营经济高质量发展的政策举措，强化经济运行监测，持续加大“四上”企业挖潜培育力度，落细落实“一企一策”培育帮促、“个转企”“小升规”激励政策，加强“准四上”企业的跟踪监测，深入开展“扫楼、扫街、扫空间”行动，对市场中正常经营的单位进行拉网式探查挖掘，动态管理、跟踪培育，确保年底在库“四上”企业达到24家。(牵头单位：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经济发展办公室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、商务投促岗、发展改革岗、规划建设岗、统计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工作岗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四、实施信贷投放百日攻坚。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聚焦主导产业做强、重点项目建设、小微企业做大及居民信贷等需求，分类梳理、定向宣传各级稳经济政策措施以及惠企政策，积极向上争取信贷资源，持续做大信贷盘子、提高资金投放准度，确保年内贷款余额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不低于2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亿元。(牵头单位: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经济发展办公室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)</w:t>
      </w:r>
    </w:p>
    <w:p>
      <w:pPr>
        <w:pStyle w:val="11"/>
        <w:overflowPunct w:val="0"/>
        <w:topLinePunct/>
        <w:adjustRightInd w:val="0"/>
        <w:snapToGrid w:val="0"/>
        <w:spacing w:line="600" w:lineRule="exact"/>
        <w:ind w:firstLine="640"/>
        <w:rPr>
          <w:rFonts w:hint="eastAsia" w:ascii="仿宋_GB2312" w:hAnsi="黑体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五、实施“古薛枫韵”衔接乡村振兴推进区建设百日攻坚。</w:t>
      </w:r>
      <w:r>
        <w:rPr>
          <w:rFonts w:hint="eastAsia" w:ascii="仿宋_GB2312" w:hAnsi="黑体" w:eastAsia="仿宋_GB2312"/>
          <w:snapToGrid w:val="0"/>
          <w:kern w:val="0"/>
          <w:sz w:val="32"/>
          <w:szCs w:val="32"/>
          <w:lang w:val="en-US" w:eastAsia="zh-CN"/>
        </w:rPr>
        <w:t>坚持产业连片培育、环境连片整治、风貌连片提升，因村制宜、梯次推进涉及孔集、皇殿岗等10个行政村的“古薛枫韵”衔接推进区建设，力争11月底前基本建成渠玉柏故居、落凤公园等9个重要节点，完成惠粮预制菜、滕亮冷库2个乡村振兴重点项目建设，“好品张汪”电商孵化园具有一定规模，开创乡村振兴新局面。(牵头单位:农业农村岗、涉及党总支)</w:t>
      </w:r>
    </w:p>
    <w:p>
      <w:pPr>
        <w:pStyle w:val="11"/>
        <w:overflowPunct w:val="0"/>
        <w:topLinePunct/>
        <w:adjustRightInd w:val="0"/>
        <w:snapToGrid w:val="0"/>
        <w:spacing w:line="600" w:lineRule="exact"/>
        <w:ind w:firstLine="640"/>
        <w:rPr>
          <w:rFonts w:hint="eastAsia" w:ascii="仿宋_GB2312" w:hAnsi="黑体" w:eastAsia="仿宋_GB2312"/>
          <w:snapToGrid w:val="0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六、实施满意度提升百日攻坚。</w:t>
      </w:r>
      <w:r>
        <w:rPr>
          <w:rFonts w:hint="eastAsia" w:ascii="仿宋_GB2312" w:hAnsi="黑体" w:eastAsia="仿宋_GB2312"/>
          <w:snapToGrid w:val="0"/>
          <w:kern w:val="0"/>
          <w:sz w:val="32"/>
          <w:szCs w:val="32"/>
          <w:lang w:val="en-US" w:eastAsia="zh-CN"/>
        </w:rPr>
        <w:t>针对六项民生领域，重点开展人居环境整治，广场舞大赛，困难人群帮扶救助等活动。用好“枣解决·枣满意”平台，打通线上线下群众满意度提升渠道。持续开展“满意张汪”宣传活动，重点围绕民生实事，政策宣讲，活动推广等内容，多方位展现全镇满意度提升工作成果，营造“满意张汪，你我共享”浓厚氛围。力争在 2023 年度全市满意度调查中进入全市前10名。(牵头单位:六项民生领域涉及单位)</w:t>
      </w:r>
    </w:p>
    <w:p>
      <w:pPr>
        <w:pStyle w:val="8"/>
        <w:ind w:left="0" w:leftChars="0" w:firstLine="640" w:firstLineChars="200"/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 w:bidi="ar-SA"/>
        </w:rPr>
        <w:t>七、实施信访治理百日攻坚。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聚力“初信初访、治重化积、未访先调”三位一体工作格局,对高风险人员落实常态化、全天候的稳控措施，对越级信访违法行为坚决予以依法打击，力争 10 月底前各级领导包案全部 “清仓见底”、 中央信访联席办交办的治重化积案件实现“清零”。完善首接首办、接诉即办、直转快办、跟踪督办、会商联办“五办”机制，坚持初信初访“三周办结”工作法，确保初次信访事项一次性化解率达到 90%以上。(牵头单位:派出所、信访工作岗、综合治理岗)</w:t>
      </w:r>
    </w:p>
    <w:p>
      <w:pPr>
        <w:pStyle w:val="8"/>
        <w:ind w:left="0" w:leftChars="0" w:firstLine="640" w:firstLineChars="200"/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“百日攻坚”期间，各总支、村，各部门要拿出冲刺的状态、决战的姿态，大干100天、攻坚100天、冲刺100天，再掀项目建设、加快发展的新热潮，确保高质量完成全年目标任务。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一要强化责任担当。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各分管领导同志要统筹兼顾、率先垂范，对牵头负责的任务亲自谋划，亲自把关，亲自调度，亲力亲为，以上率下推动工作落地见效。各总支、村，各部门要互为标杆、比学赶超，靠前作为、主动作为，每日抓落实盯进度，推动工作在一线指挥、问题在一线解决、成效在一线检验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二要压实工作任务。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各牵头单位要对照任务目标，拿出详细的实施方案和工作进度表,将责任逐项分解压实到具体单位和人员，清单化、项目化、节点化推动工作开展。要做好业务指导，对工作推进情况定期督查、定期晾晒，设置激励榜、警示榜，推动相关单位在认识上绷紧、时间上抓紧、落实上赶紧确保各项任务盯紧盯牢、全力办成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三要严格督导考核。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镇纪委、组织科、督导办要加大跟踪督办力度，对工作进展缓慢、推动不力的，该约谈的约谈，该通报的通报;对工作不力、任务指标未完成、拖全镇后腿的严肃问责。宣传科要围绕“百日攻坚”行动，组织推出一系列有深度、有温度的鲜活报道，在全镇营造大干快干、全力拼抢争先进位的浓厚氛围。</w:t>
      </w:r>
    </w:p>
    <w:p>
      <w:pPr>
        <w:pStyle w:val="8"/>
        <w:ind w:left="0" w:leftChars="0" w:firstLine="640" w:firstLineChars="200"/>
        <w:jc w:val="right"/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ind w:left="0" w:leftChars="0" w:firstLine="640" w:firstLineChars="200"/>
        <w:jc w:val="right"/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ind w:left="0" w:leftChars="0" w:firstLine="640" w:firstLineChars="200"/>
        <w:jc w:val="right"/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中共张汪镇委员会</w:t>
      </w:r>
    </w:p>
    <w:p>
      <w:pPr>
        <w:pStyle w:val="8"/>
        <w:ind w:left="0" w:leftChars="0" w:firstLine="752" w:firstLineChars="200"/>
        <w:jc w:val="right"/>
        <w:rPr>
          <w:rFonts w:hint="eastAsia" w:ascii="仿宋_GB2312" w:hAnsi="Times New Roman" w:eastAsia="仿宋_GB2312" w:cs="仿宋_GB2312"/>
          <w:color w:val="auto"/>
          <w:spacing w:val="28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pacing w:val="28"/>
          <w:sz w:val="32"/>
          <w:szCs w:val="32"/>
          <w:lang w:val="en-US" w:eastAsia="zh-CN"/>
        </w:rPr>
        <w:t>张汪镇人民政府</w:t>
      </w:r>
    </w:p>
    <w:p>
      <w:pPr>
        <w:pStyle w:val="8"/>
        <w:ind w:left="0" w:leftChars="0" w:firstLine="640" w:firstLineChars="200"/>
        <w:jc w:val="right"/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2023年9月21日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YmQxYzE4M2I2NTUyMTM3NDk2NzhlNjEyMWMwZTEifQ=="/>
  </w:docVars>
  <w:rsids>
    <w:rsidRoot w:val="0EF2627D"/>
    <w:rsid w:val="02187698"/>
    <w:rsid w:val="0EF2627D"/>
    <w:rsid w:val="1A0C111B"/>
    <w:rsid w:val="24890501"/>
    <w:rsid w:val="2EB10BCC"/>
    <w:rsid w:val="4DD8428F"/>
    <w:rsid w:val="52194262"/>
    <w:rsid w:val="61CF4F95"/>
    <w:rsid w:val="6B6A4199"/>
    <w:rsid w:val="77D2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eastAsia="仿宋" w:cs="Calibri"/>
    </w:r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  <w:rPr>
      <w:rFonts w:ascii="Calibri" w:hAnsi="Calibri" w:cs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39"/>
    <w:pPr>
      <w:spacing w:line="660" w:lineRule="exact"/>
      <w:ind w:firstLine="705"/>
    </w:pPr>
    <w:rPr>
      <w:rFonts w:ascii="??_GB2312" w:eastAsia="Times New Roman" w:cs="Calibri"/>
      <w:color w:val="000000"/>
      <w:sz w:val="36"/>
      <w:szCs w:val="36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8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customStyle="1" w:styleId="11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2023-09-25T07:39:00Z</dcterms:created>
  <dc:creator>一般小化</dc:creator>
  <cp:lastModifiedBy>Administrator</cp:lastModifiedBy>
  <dcterms:modified xsi:type="dcterms:W3CDTF">2023-09-28T04:07:47Z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DDA0C8FE485146AB8934271D2B171EC3_13</vt:lpwstr>
  </property>
</Properties>
</file>